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3118B"/>
    <w:p w14:paraId="6CCFC7AE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 w14:paraId="6D07903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95D3E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1042AF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CA57DD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627DC6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A7FF5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1689C97">
      <w:pPr>
        <w:spacing w:line="560" w:lineRule="exact"/>
        <w:jc w:val="center"/>
        <w:rPr>
          <w:rFonts w:ascii="方正小标宋_GBK" w:hAnsi="华文中宋" w:eastAsia="方正小标宋_GBK" w:cs="宋体"/>
          <w:b/>
          <w:kern w:val="0"/>
          <w:sz w:val="52"/>
          <w:szCs w:val="52"/>
        </w:rPr>
      </w:pPr>
      <w:r>
        <w:rPr>
          <w:rFonts w:hint="eastAsia" w:ascii="方正小标宋_GBK" w:hAnsi="华文中宋" w:eastAsia="方正小标宋_GBK" w:cs="宋体"/>
          <w:b/>
          <w:kern w:val="0"/>
          <w:sz w:val="52"/>
          <w:szCs w:val="52"/>
        </w:rPr>
        <w:t>项目支出绩效自评报告</w:t>
      </w:r>
    </w:p>
    <w:p w14:paraId="2BB43C4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854EF2E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92BBFB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F1614AC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 w14:paraId="5A7911D3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乌财科教[2023]173号（公用经费-小学）；乌财科教[2023]173号（公用经费-特教）；乌财科教[2023]167号（公用经费-小学)；乌财科教[2023]167号关于提前下达2024年城乡义务教育补助经费预算[中央直达资金]的通知（公用经费-特教）；城乡义务教育公用经费；义务教育阶段特殊教育学校随班就读残疾学生生均公用经费（区县配套）</w:t>
      </w:r>
    </w:p>
    <w:p w14:paraId="619D16DA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乌鲁木齐市第六十四小学</w:t>
      </w:r>
    </w:p>
    <w:p w14:paraId="62910B9B">
      <w:pPr>
        <w:spacing w:line="540" w:lineRule="exact"/>
        <w:ind w:firstLine="900" w:firstLineChars="250"/>
        <w:rPr>
          <w:rFonts w:hint="default" w:ascii="楷体" w:hAnsi="楷体" w:eastAsia="楷体"/>
          <w:b/>
          <w:bCs/>
          <w:spacing w:val="-4"/>
          <w:sz w:val="28"/>
          <w:szCs w:val="28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乌鲁木齐市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val="en-US" w:eastAsia="zh-CN"/>
        </w:rPr>
        <w:t>水磨沟区教育局</w:t>
      </w:r>
    </w:p>
    <w:p w14:paraId="18E39B1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王新丽</w:t>
      </w:r>
    </w:p>
    <w:p w14:paraId="5EAB3F30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eastAsia="楷体"/>
          <w:spacing w:val="-4"/>
          <w:sz w:val="32"/>
          <w:szCs w:val="32"/>
        </w:rPr>
        <w:t>2025年04月22日</w:t>
      </w:r>
    </w:p>
    <w:p w14:paraId="1D3DDCF2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27E138A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56CA9CC1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068843A3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440948FE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1.项目背景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根据財教【2021】56号财政部、教育部关于印发《城乡义务教育补助经费管理办法》的通知，为规范和加强城乡义务教育补助经费管理，提高资金使用效益，经国务院同意，制定了《城乡义务教育补助经费管理办法》，我们严格遵照执行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2.项目主要内容及实施情况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项目主要内容：根据管理办法，城乡保障金经费补助测算办法：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公用经费补助标准、分配因素和计算方法：按照在校生数、补助标准和分配系数计算。生均公用经费基准定额为小学720元/年·人、初中940元/年·人，在此基础上，对寄宿制学校按照寄宿生年生均200元标准增加公用经费补助，继续落实农村地区不足100人的规模较小学校按100人核定公用经费和北方地区取暖费(逐省核定取暖费补助标准)等政策；特殊教育学校和随班就读残疾学生按每生每年6000元标准补助。分配系数：第一档中央分担80%；)第二档中央分担60%；第三档、第四档、第五档中央分担50%。计算方法：补助经费=[在校生数×(生均公用经费基准定额+取暖费补助标准)+(寄宿生数×200元/年·人)+(残疾学生数×6000元/年·人)+(农村不足100人的规模较小学校数×100-规模较小学校在校生数)×生均公用经费基准定额]×分配系数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公用经费=(在校生-随班就读学生-不足百人的学校的学生）×720元/年/人（小学）或940元/年/人（初中）+随班就读学生×6000+不足百人学校校数×7.2万（小学）或9.4万（初中）+寄宿生数×200元/年/人+在校生总数×取暖费标准+特教学生数×取暖费标准（取暖费标准为生均180元/生/学年）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该项目用于我校的公用经费开支，主要用于我校办公费、水电费、学校教学业务与管理、教师培训、文体活动、水电、取暖、交通差旅、购置仪器设备及图书资料等、日常维修房屋建筑物和仪器设备等相关开支。在前期立项过程中严格把质量关，建立安全防护机制，保证项目实施各阶段安全顺利进行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我校严格按照城乡保障金公用经费的开支范围使用该资金，明确要求公用经费不得用于人员工资、基建投资或债务偿还，确保专款专用。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我校开展专项资金自查，接受财政、审计部门定期督查资金使用情况，并组织校长及财务人员培训，确保资金使用准确、高效。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城乡义务教育公用经费项目通过提高保障标准、优化资源配置、加强监管等措施，有效促进了教育公平与质量提升。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3.资金投入和使用情况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资金投入情况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 xml:space="preserve">     该项目年初预算数112.24万元，全年预算数112.24万元实际总投入98.96万元，该项目资金落实到位98.96万元，资金来源为上级转移支付资金。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（2）资金使用情况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年初预算数112.24万元，全年预算数112.24万元,，全年执行数98.96万元，预算执行率为88%，主要用于：用于我校办公费、水电费、学校教学业务与管理、教师培训、文体活动、水电、取暖、交通差旅、购置仪器设备及图书资料等、日常维修房屋建筑物和仪器设备等相关开支。</w:t>
      </w:r>
    </w:p>
    <w:p w14:paraId="68ABFAC6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2F79DCF8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（二）项目绩效目标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1.总体目标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保障我校办公费、水电费、学校教学业务与管理、教师培训、文体活动、水电、取暖、交通差旅、仪器设备及图书资料等购置、房屋建筑物仪器设备的日常维修等相关开支。合理合规完成当年资金的全额支出，有效保障学校正常运转，完成教育教学活动和其他日常工作任务等。从而实现该项目的社会效益，提高学校教学水平、改善办学条件。 该项目用以教学设备设施的购置及教师的培训，购置教学设备次数不低于3次，每次成本低于54000元，教师培训人次不低于15人次，每次成本控制在9000元以内。培训完成率要达到100%，购置各类教学设备设施的合格率要达到100%。购置各类教育教学用品种类25种，维修校舍18次，我校将努力提高教育、教学水平，认真改善办学条件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2.阶段性目标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年中该项目保障我校教学任务正常运转，各项指标基本完成设定目标。截止6月份购置教学设备次数1次，每次成本低于54000元，教师培训人次8人次，每次成本控制在9000元以内。培训完成率要达到50%，购置各类教学设备设施的合格率要达到100%。购置各类教育教学用品种类18种，维修校舍9次。</w:t>
      </w:r>
    </w:p>
    <w:p w14:paraId="1B3E0C91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349890C5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748BF5F1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1.绩效评价的目的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2.绩效评价的对象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义务段学校城乡保障金公用经费项目的实施情况近年来持续推进，各地通过优化资金分配、提高保障标准、强化监管等方式，助力义务教育优质均衡发展。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（1）中央及地方资金投入：其中中央配套项目资金的80%，地方配套项目资金的20%。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（2）生均公用经费标准提升 ：自2023年春季学期起，全国义务教育生均公用经费基准定额提高，小学由650元/年增至720元，初中由850元/年增至940元。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（3）资金使用方向：保障学校运转，满足学校办公费、水电费、学校教学业务与管理、教师培训、文体活动、水电、取暖、交通差旅、购置仪器设备及图书资料等、日常维修房屋建筑物和仪器设备等相关开支。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（4）动态监督：学校开展专项资金自查，接受财政、审计部门定期督查资金使用情况，并组织校长及财务人员培训，确保资金使用准确、高效。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 xml:space="preserve">    城乡义务教育公用经费项目通过提高保障标准、优化资源配置、加强监管等措施，有效促进了教育公平与质量提升。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3.绩效评价的范围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义务段学校城乡保障金公用经费项目进行评价，评价核心为专项资金的支出完成情况和效果。</w:t>
      </w:r>
    </w:p>
    <w:p w14:paraId="7022432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04E6B4C8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（二）绩效评价原则、评价指标体系（详情见附件2）、评价方法、评价标准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1.绩效评价原则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2.评价指标体系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（1）确定评价指标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（2）确定权重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（3）确定指标标准值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具体评价指标体系详情见附件2。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3.绩效评价方法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（1）比较法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（2）因素分析法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4.评价标准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绩效评价标准通常包括计划标准、行业标准、历史标准等，用于对绩效指标完成情况进行比较、分析、评价。本次评价主要采用了计划标准、预算支出标准、自定义标准（定性值）。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5F17F1F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0903BF35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27E524DE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1D655E54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（一）评价情况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（二）评价结论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98.34分，属于“优”。其中，项目决策类指标权重为20分，得分为 20分，得分 100%。项目过程类指标权重为20分，得分为19.52分，得分率为97.6%。项目产出类指标权重为40分，得分为38.82分，得分率为97.05%。项目效益类指标权重为20分，得分为20分，得分率为100%。具体打分情况详见：表1.综合评分表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表1.综合评分表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权重分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得分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20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19.52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40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38.82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20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100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98.34</w:t>
      </w:r>
    </w:p>
    <w:p w14:paraId="546C0B01">
      <w:pPr>
        <w:spacing w:line="540" w:lineRule="exact"/>
        <w:ind w:firstLine="624" w:firstLineChars="20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9"/>
          <w:rFonts w:hint="eastAsia" w:ascii="黑体" w:hAnsi="黑体" w:eastAsia="黑体"/>
        </w:rPr>
        <w:t xml:space="preserve"> </w:t>
      </w:r>
    </w:p>
    <w:p w14:paraId="2581FCF3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73ED4D29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（一）项目决策情况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1.项目立项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（1）立项依据充分性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（2）立项程序规范性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2.绩效目标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（1）绩效目标合理性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（2）绩效指标明确性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3.资金投入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（1）预算编制科学性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（2）资金分配合理性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</w:p>
    <w:p w14:paraId="50C9F66E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61CF2578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（二）项目过程情况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项目过程类指标包括资金管理和组织实施两方面的内容，由5个三级指标构成，权重分值为20分，实际得分19.52分，得分率为97.6%。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1.资金管理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（1）资金到位率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本项目总投资112.24万元，财政资金及时足额到位，到位率100%，预算资金按计划进度执行。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（2）预算执行率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预算编制较为详细，项目资金支出总体能够按照预算执行，预算资金支出98.96万元，预算执行率为88.17%。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（3）资金使用合规性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2.组织实施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（1）管理制度健全性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（2）制度执行有效性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449F6883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E12CEFD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项目产出类指标包括产出数量、产出质量、产出时效、产出成本四方面的内容，由12个三级指标构成，权重分为40分，实际得分38.82分，得分率为97.05%。具体产出指标完成情况如下：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①数量指标：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指标1：教师参加培训次数，指标值：大于等于15次，实际完成值：15次，包含韩学岩2024年1月赴海口培训、严双梅和朱洁洁赴成都培训、陈福燕和朱雪丽2024年4月培训、张玲玲6月培训等15次。指标完成率100%。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2：零星维修校舍次数，指标值：大于等于18次，实际完成值：23次，包含付跆拳道场馆维修改造费、付屋顶维修改造尾款、付2024年下水疏通费、付教学楼外墙粉刷学校标志场坪美化工程尾款、付LED屏幕维修等，指标完成率128%，偏差原因：维修的偶发因素多，不可预见因素影响完成值与目标值偏差。改进措施：对近三年维修费用做一统计，结合学校基础设施现状制定合理目标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3：购置各类教育教学用品种类，指标值：大于等于32种，实际完成值：37种，包含排球、篮球、棉线、档案盒、美术作业纸、数据线、面灯、图书等，指标完成率116%，偏差原因：学校教学品类较多，全年购置种类与目标存在差异，在合理范围内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指标4：购置办公设备次数，指标值：大于等于3次，实际完成值：3次，包含心理咨询师设备采购费、多功能厅设备采购大功率会议灯等设备等，指标完成率100%。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②质量指标：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指标1：培训结业率，指标值：等于100%，实际完成值：100% ，教师培训后颁发结业证书，指标完成率 100 %。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指标2：购置办公设备质量合格率，指标值：等于100%，实际完成值：100% ，指标完成率 100 %。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指标3：日常维修质量合格率，指标值：等于100%，实际完成值：100% ，指标完成率 100 %。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指标4：购置用品质量合格率，指标值：等于100%，实际完成值：100% ，验收报告显示无问题已验收，指标完成率 100 %。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③经济成本指标：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指标1：教师培训成本，指标值：小于等于9000元/次，实际完成值：5201.54元/次 ，指标完成率 57.79%。偏差原因：指标设置不够合理。目标值设置不够合理。改进措施：今后工作要更加细致，目标值设置更加合理。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指标2：购置各类教育教学用品的成本，指标值：小于等于9143.75元/类，实际完成值：9085.23元/类，指标完成率 99.36%。偏差原因：指标偏差在合理范围之内。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指标3：校舍日常维修成本，指标值：小于等于29598元/次，实际完成值：28647.83元/次，指标完成率 97%。偏差原因：指标偏差在合理范围之内。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指标4：购置办公设备，指标值：小于等于54000元/次，实际完成值：70046元/次，指标完成率 0%。偏差原因：指标设置不够合理。改进措施：今后工作要更加细致，目标值设置更加合理。</w:t>
      </w:r>
    </w:p>
    <w:p w14:paraId="7948BD5A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490733C9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项目效益类指标包括项目实施效益和满意度两方面的内容，由1个三级指标构成，权重分为20分，实际得分20分，得分率为100%。具体效益指标及满意度指标完成情况如下：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1.实施效益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①社会效益指标：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指标1：提高学校教学水平、改善办学条件，指标值：有效提高，实际完成值：完全达到预期目标，指标完成率100%。该项目保障了义务教育阶段学校正常运转、完成教育教学活动和其他日常工作任务，改善了我校软件、硬件办学条件。该项目是国家推进教育公平、实现教育现代化的重要举措，体现了政府对教育公平和质量的重视；设立义务段城乡义务保障金公用经费对促进教育公平、提升教育质量、推动城乡一体化具有重要意义。</w:t>
      </w:r>
    </w:p>
    <w:p w14:paraId="2FCAB862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</w:p>
    <w:p w14:paraId="54632F11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五、主要经验及做法、存在的问题及原因分析</w:t>
      </w:r>
    </w:p>
    <w:p w14:paraId="3BB99452">
      <w:pPr>
        <w:spacing w:line="540" w:lineRule="exact"/>
        <w:ind w:firstLine="624" w:firstLineChars="200"/>
        <w:rPr>
          <w:rStyle w:val="19"/>
          <w:rFonts w:eastAsia="楷体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（一）主要经验及做法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  <w:lang w:val="en-US" w:eastAsia="zh-CN"/>
        </w:rPr>
        <w:t>由于部分人员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缺乏相关绩效管理专业知识，自评价工作还存在自我审定的局限性，影响评价质量。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7F314576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51ADA09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cr/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。</w:t>
      </w:r>
    </w:p>
    <w:p w14:paraId="35D0B722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61F537D3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目支出的政策和路径设置是科学的，但本年成本指标设置不够合理，今后工作要更加细致，各部门与财务紧密配合，提前做好下一年开支管理，预算数据要求再详细一些，贴合实际，预算目标值设置更合理，降低指标偏差率。</w:t>
      </w:r>
    </w:p>
    <w:p w14:paraId="2A274109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B776D68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DF6E05B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A9B2D0E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EDDF097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73B018-6FC8-4E40-A014-E94F8B9DC9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A94A6C4-B807-4CA4-B205-35BB46F4989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06975B7-1BD6-4172-87F2-3CEF4603933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84486E7-4BD9-4270-8AE8-B6994472731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F3347EF5-66D3-43DD-B916-DEF8E85CE80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359676A3-BD74-4AA9-B72E-70F1FB3DA7B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C11B43C-E397-4F18-B694-8D68B3B9A36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622DD2BE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152CE7B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D5325"/>
    <w:rsid w:val="7B8E382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AC8D1C95289B424182C977C1902B2A2F</vt:lpwstr>
  </property>
</Properties>
</file>

<file path=customXml/itemProps1.xml><?xml version="1.0" encoding="utf-8"?>
<ds:datastoreItem xmlns:ds="http://schemas.openxmlformats.org/officeDocument/2006/customXml" ds:itemID="{704b17c8-c437-476b-a5b5-63a6a10139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市财政资金综合评价中心</Company>
  <Pages>23</Pages>
  <Words>1397</Words>
  <Characters>1544</Characters>
  <Lines>4</Lines>
  <Paragraphs>1</Paragraphs>
  <TotalTime>0</TotalTime>
  <ScaleCrop>false</ScaleCrop>
  <LinksUpToDate>false</LinksUpToDate>
  <CharactersWithSpaces>1556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2025-04-28T05:31:00Z</dcterms:created>
  <dc:creator>赵 恺_xFF08_预算处_xFF09_</dc:creator>
  <cp:lastModifiedBy>雨。</cp:lastModifiedBy>
  <cp:lastPrinted>2018-12-31T10:56:00Z</cp:lastPrinted>
  <dcterms:modified xsi:type="dcterms:W3CDTF">2025-11-05T08:47:18Z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AC8D1C95289B424182C977C1902B2A2F</vt:lpwstr>
  </property>
  <property fmtid="{D5CDD505-2E9C-101B-9397-08002B2CF9AE}" pid="4" name="KSOTemplateDocerSaveRecord">
    <vt:lpwstr>eyJoZGlkIjoiMGIxZTI3ODM4ZmVjOGE5NDFiYmE3OTRiMjQ5OTEyNzIiLCJ1c2VySWQiOiIyNTk4NTcxMjUifQ==</vt:lpwstr>
  </property>
</Properties>
</file>